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A84A5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20.11.2014                                                                                                                № 104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A84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53" w:rsidRPr="00A84A53" w:rsidRDefault="00A84A53" w:rsidP="00A84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4A53" w:rsidRPr="00A84A53" w:rsidRDefault="00A84A53" w:rsidP="00A84A5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>О внесении изменений в Положение о местных налогах на территории городского поселения «Город Амурск</w:t>
      </w:r>
      <w:r w:rsidR="002B2B31">
        <w:rPr>
          <w:rFonts w:ascii="Times New Roman" w:hAnsi="Times New Roman" w:cs="Times New Roman"/>
          <w:sz w:val="28"/>
          <w:szCs w:val="28"/>
        </w:rPr>
        <w:t>»</w:t>
      </w:r>
      <w:r w:rsidRPr="00A84A53">
        <w:rPr>
          <w:rFonts w:ascii="Times New Roman" w:hAnsi="Times New Roman" w:cs="Times New Roman"/>
          <w:sz w:val="28"/>
          <w:szCs w:val="28"/>
        </w:rPr>
        <w:t>, утверждённое решением Совета депутатов городского поселения «Город Амурск» от 25.10.2012 № 364</w:t>
      </w:r>
    </w:p>
    <w:p w:rsidR="00A84A53" w:rsidRDefault="00A84A53" w:rsidP="00A84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A53" w:rsidRPr="00A84A53" w:rsidRDefault="00A84A53" w:rsidP="00A84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A53" w:rsidRPr="00A84A53" w:rsidRDefault="00A84A53" w:rsidP="00A84A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84A5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A84A53">
          <w:rPr>
            <w:rFonts w:ascii="Times New Roman" w:hAnsi="Times New Roman" w:cs="Times New Roman"/>
            <w:bCs/>
            <w:sz w:val="28"/>
            <w:szCs w:val="28"/>
          </w:rPr>
          <w:t>главой 31</w:t>
        </w:r>
      </w:hyperlink>
      <w:r w:rsidRPr="00A84A53">
        <w:rPr>
          <w:rFonts w:ascii="Times New Roman" w:hAnsi="Times New Roman" w:cs="Times New Roman"/>
          <w:bCs/>
          <w:sz w:val="28"/>
          <w:szCs w:val="28"/>
        </w:rPr>
        <w:t xml:space="preserve"> Налогового Кодекса Российской Федерации</w:t>
      </w:r>
      <w:r w:rsidRPr="00A84A53">
        <w:rPr>
          <w:rFonts w:ascii="Times New Roman" w:hAnsi="Times New Roman" w:cs="Times New Roman"/>
          <w:sz w:val="28"/>
          <w:szCs w:val="28"/>
        </w:rPr>
        <w:t>, Федеральными Законами от 04.10.2014 № 284 «О внесении изменений в статьи 12 и 85 части первой и часть вторую Налогового кодекса Российской Федерации»,  от 24.10.2014 № 347-ФЗ «О внесении изменений в части первую и вторую Налогового кодекса Российской Федерации», признании утратившим силу Закона Российской Федерации «О налогах на имущество физических лиц»,  Уставом городского</w:t>
      </w:r>
      <w:proofErr w:type="gramEnd"/>
      <w:r w:rsidRPr="00A84A53">
        <w:rPr>
          <w:rFonts w:ascii="Times New Roman" w:hAnsi="Times New Roman" w:cs="Times New Roman"/>
          <w:sz w:val="28"/>
          <w:szCs w:val="28"/>
        </w:rPr>
        <w:t xml:space="preserve"> поселения «Город Амурск» Амурского муниципального района Хабаровского края Совет депутатов городского поселения «Город Амурск» решил:</w:t>
      </w:r>
    </w:p>
    <w:p w:rsidR="00A84A53" w:rsidRPr="00A84A53" w:rsidRDefault="00A84A53" w:rsidP="00A84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ab/>
        <w:t>1. Внести в Положение о местных налогах на территории городского поселения «Город Амурск», утверждённое  решением Совета депутатов городского поселения «Город Амурск» от 25.10.2012 № 364 следующие изменения:</w:t>
      </w:r>
    </w:p>
    <w:p w:rsidR="00A84A53" w:rsidRPr="00A84A53" w:rsidRDefault="00A84A53" w:rsidP="00A84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 xml:space="preserve">1.1. подпункт 9.1. пункта 9 раздела 2 «Земельный налог» изложить в следующей редакции: </w:t>
      </w:r>
    </w:p>
    <w:p w:rsidR="00A84A53" w:rsidRPr="00A84A53" w:rsidRDefault="00A84A53" w:rsidP="00A84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4A53">
        <w:rPr>
          <w:rFonts w:ascii="Times New Roman" w:eastAsia="Calibri" w:hAnsi="Times New Roman" w:cs="Times New Roman"/>
          <w:sz w:val="28"/>
          <w:szCs w:val="28"/>
          <w:lang w:eastAsia="en-US"/>
        </w:rPr>
        <w:t>«9.1.</w:t>
      </w:r>
      <w:r w:rsidRPr="00A84A53">
        <w:rPr>
          <w:rFonts w:ascii="Times New Roman" w:hAnsi="Times New Roman" w:cs="Times New Roman"/>
          <w:sz w:val="28"/>
          <w:szCs w:val="28"/>
        </w:rPr>
        <w:t xml:space="preserve"> </w:t>
      </w:r>
      <w:r w:rsidRPr="00A84A53">
        <w:rPr>
          <w:rFonts w:ascii="Times New Roman" w:eastAsia="Calibri" w:hAnsi="Times New Roman" w:cs="Times New Roman"/>
          <w:sz w:val="28"/>
          <w:szCs w:val="28"/>
          <w:lang w:eastAsia="en-US"/>
        </w:rPr>
        <w:t>Налогоплательщики-организации уплачивают налог не позднее 01 марта года, следующего за истекшим налоговым периодом.</w:t>
      </w:r>
    </w:p>
    <w:p w:rsidR="00A84A53" w:rsidRPr="00A84A53" w:rsidRDefault="00A84A53" w:rsidP="00A84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4A53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налогового периода налогоплательщики-организации уплачивают авансовые платежи по налогу в сроки не позднее 15 мая, 15 августа, 15 ноября.</w:t>
      </w:r>
    </w:p>
    <w:p w:rsidR="00A84A53" w:rsidRPr="00A84A53" w:rsidRDefault="00A84A53" w:rsidP="00A84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4A53">
        <w:rPr>
          <w:rFonts w:ascii="Times New Roman" w:eastAsia="Calibri" w:hAnsi="Times New Roman" w:cs="Times New Roman"/>
          <w:sz w:val="28"/>
          <w:szCs w:val="28"/>
          <w:lang w:eastAsia="en-US"/>
        </w:rPr>
        <w:t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</w:t>
      </w:r>
      <w:proofErr w:type="gramStart"/>
      <w:r w:rsidRPr="00A84A53">
        <w:rPr>
          <w:rFonts w:ascii="Times New Roman" w:eastAsia="Calibri" w:hAnsi="Times New Roman" w:cs="Times New Roman"/>
          <w:sz w:val="28"/>
          <w:szCs w:val="28"/>
          <w:lang w:eastAsia="en-US"/>
        </w:rPr>
        <w:t>.».</w:t>
      </w:r>
      <w:proofErr w:type="gramEnd"/>
    </w:p>
    <w:p w:rsidR="00A84A53" w:rsidRPr="00A84A53" w:rsidRDefault="00A84A53" w:rsidP="00A84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 xml:space="preserve">1.2. считать утратившим силу подпункт  9.2. пункта 9 раздела 2. </w:t>
      </w:r>
    </w:p>
    <w:p w:rsidR="00A84A53" w:rsidRPr="00A84A53" w:rsidRDefault="00A84A53" w:rsidP="00A84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 xml:space="preserve">1.3. Раздел 3 «Налог на имущество физических лиц» изложить в следующей редакции: </w:t>
      </w:r>
    </w:p>
    <w:p w:rsidR="00A84A53" w:rsidRPr="00A84A53" w:rsidRDefault="00A84A53" w:rsidP="00A84A5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>«3. Налог на имущество физических лиц</w:t>
      </w:r>
    </w:p>
    <w:p w:rsidR="00A84A53" w:rsidRPr="00A84A53" w:rsidRDefault="00A84A53" w:rsidP="00A84A5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84A53">
        <w:rPr>
          <w:rFonts w:ascii="Times New Roman" w:hAnsi="Times New Roman" w:cs="Times New Roman"/>
          <w:bCs/>
          <w:sz w:val="28"/>
          <w:szCs w:val="28"/>
        </w:rPr>
        <w:t>1.Общие положения</w:t>
      </w:r>
    </w:p>
    <w:p w:rsidR="00A84A53" w:rsidRDefault="00A84A53" w:rsidP="00A84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>1.1.Настоящим Положением устанавливается и вводится на территории городского поселения «Город Амурск</w:t>
      </w:r>
      <w:r w:rsidRPr="00A84A53">
        <w:rPr>
          <w:rFonts w:ascii="Times New Roman" w:hAnsi="Times New Roman" w:cs="Times New Roman"/>
          <w:i/>
          <w:sz w:val="28"/>
          <w:szCs w:val="28"/>
        </w:rPr>
        <w:t>»</w:t>
      </w:r>
      <w:r w:rsidRPr="00A84A53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A84A53">
        <w:rPr>
          <w:rFonts w:ascii="Times New Roman" w:hAnsi="Times New Roman" w:cs="Times New Roman"/>
          <w:sz w:val="28"/>
          <w:szCs w:val="28"/>
        </w:rPr>
        <w:t>налог на имущество физических лиц (далее в настоящем разделе – налог), определяются налоговые ставки и особенности определения налоговой базы.</w:t>
      </w:r>
    </w:p>
    <w:p w:rsidR="00A84A53" w:rsidRDefault="00A84A53" w:rsidP="00A84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84A53" w:rsidSect="00ED298B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p w:rsidR="00A84A53" w:rsidRPr="00A84A53" w:rsidRDefault="00A84A53" w:rsidP="00A84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lastRenderedPageBreak/>
        <w:t xml:space="preserve">1.2. Налогоплательщики, объект налогообложения, налоговая база и порядок ее определения, налоговый период, порядок исчисления налога, порядок и сроки уплаты </w:t>
      </w:r>
      <w:proofErr w:type="gramStart"/>
      <w:r w:rsidRPr="00A84A53">
        <w:rPr>
          <w:rFonts w:ascii="Times New Roman" w:hAnsi="Times New Roman" w:cs="Times New Roman"/>
          <w:sz w:val="28"/>
          <w:szCs w:val="28"/>
        </w:rPr>
        <w:t>налога</w:t>
      </w:r>
      <w:proofErr w:type="gramEnd"/>
      <w:r w:rsidRPr="00A84A53">
        <w:rPr>
          <w:rFonts w:ascii="Times New Roman" w:hAnsi="Times New Roman" w:cs="Times New Roman"/>
          <w:sz w:val="28"/>
          <w:szCs w:val="28"/>
        </w:rPr>
        <w:t xml:space="preserve"> и налоговые льготы отдельным категориям налогоплательщиков установлены </w:t>
      </w:r>
      <w:hyperlink r:id="rId6" w:history="1">
        <w:r w:rsidRPr="00A84A53">
          <w:rPr>
            <w:rFonts w:ascii="Times New Roman" w:hAnsi="Times New Roman" w:cs="Times New Roman"/>
            <w:sz w:val="28"/>
            <w:szCs w:val="28"/>
          </w:rPr>
          <w:t>главой 3</w:t>
        </w:r>
      </w:hyperlink>
      <w:r w:rsidRPr="00A84A53">
        <w:rPr>
          <w:rFonts w:ascii="Times New Roman" w:hAnsi="Times New Roman" w:cs="Times New Roman"/>
          <w:sz w:val="28"/>
          <w:szCs w:val="28"/>
        </w:rPr>
        <w:t>2 Налогового кодекса Российской Федерации.</w:t>
      </w:r>
    </w:p>
    <w:p w:rsidR="00A84A53" w:rsidRPr="00A84A53" w:rsidRDefault="00A84A53" w:rsidP="00A84A53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A84A53">
        <w:rPr>
          <w:rFonts w:ascii="Times New Roman" w:hAnsi="Times New Roman"/>
          <w:bCs/>
          <w:sz w:val="28"/>
          <w:szCs w:val="28"/>
        </w:rPr>
        <w:t xml:space="preserve">2.Особенности определения налоговой базы </w:t>
      </w:r>
    </w:p>
    <w:p w:rsidR="00A84A53" w:rsidRPr="00A84A53" w:rsidRDefault="00A84A53" w:rsidP="00A84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4A53">
        <w:rPr>
          <w:rFonts w:ascii="Times New Roman" w:hAnsi="Times New Roman" w:cs="Times New Roman"/>
          <w:bCs/>
          <w:sz w:val="28"/>
          <w:szCs w:val="28"/>
        </w:rPr>
        <w:t xml:space="preserve">         Налоговая база определяется в соответствии со статьей 404 Налогового кодекса Российской Федерации.</w:t>
      </w:r>
    </w:p>
    <w:p w:rsidR="00A84A53" w:rsidRPr="00A84A53" w:rsidRDefault="00A84A53" w:rsidP="00A84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4A53">
        <w:rPr>
          <w:rFonts w:ascii="Times New Roman" w:hAnsi="Times New Roman" w:cs="Times New Roman"/>
          <w:bCs/>
          <w:sz w:val="28"/>
          <w:szCs w:val="28"/>
        </w:rPr>
        <w:t>3. Налоговые ставки</w:t>
      </w:r>
    </w:p>
    <w:p w:rsidR="00A84A53" w:rsidRPr="00A84A53" w:rsidRDefault="00B2043A" w:rsidP="00A84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7" w:history="1">
        <w:r w:rsidR="00A84A53" w:rsidRPr="00A84A53">
          <w:rPr>
            <w:rFonts w:ascii="Times New Roman" w:hAnsi="Times New Roman" w:cs="Times New Roman"/>
            <w:bCs/>
            <w:sz w:val="28"/>
            <w:szCs w:val="28"/>
          </w:rPr>
          <w:t>Ставки налога</w:t>
        </w:r>
      </w:hyperlink>
      <w:r w:rsidR="00A84A53" w:rsidRPr="00A84A53">
        <w:rPr>
          <w:rFonts w:ascii="Times New Roman" w:hAnsi="Times New Roman" w:cs="Times New Roman"/>
          <w:bCs/>
          <w:sz w:val="28"/>
          <w:szCs w:val="28"/>
        </w:rPr>
        <w:t xml:space="preserve"> устанавливаются в следующих размерах:</w:t>
      </w: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618"/>
      </w:tblGrid>
      <w:tr w:rsidR="00A84A53" w:rsidRPr="00A84A53" w:rsidTr="00C56D2F">
        <w:tc>
          <w:tcPr>
            <w:tcW w:w="7308" w:type="dxa"/>
            <w:vAlign w:val="center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 (с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1618" w:type="dxa"/>
            <w:vAlign w:val="center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Ставка налога</w:t>
            </w:r>
          </w:p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(в процентах)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 Жилой дом, жилое помещение (квартира, комната), гараж, </w:t>
            </w:r>
            <w:proofErr w:type="spellStart"/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машино</w:t>
            </w:r>
            <w:proofErr w:type="spellEnd"/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-место: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 300 000 рублей (включительно)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0,1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свыше 300 000 рублей до 500 000 рублей (включительно) 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0,2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свыше 500 000 рублей до 1 500 000 рублей (включительно)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0,3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свыше 1 500 000 рублей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1,0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 Единый недвижимый комплекс, объект незавершенного строительства, иные здания, строения, сооружения, помещения</w:t>
            </w:r>
            <w:r w:rsidRPr="00A84A5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                 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до 300 000 рублей (включительно)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0,1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свыше 300 000 рублей до 500 000 рублей (включительно) 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0,3</w:t>
            </w:r>
          </w:p>
        </w:tc>
      </w:tr>
      <w:tr w:rsidR="00A84A53" w:rsidRPr="00A84A53" w:rsidTr="00C56D2F">
        <w:tc>
          <w:tcPr>
            <w:tcW w:w="730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свыше 500 000 рублей</w:t>
            </w:r>
          </w:p>
        </w:tc>
        <w:tc>
          <w:tcPr>
            <w:tcW w:w="1618" w:type="dxa"/>
          </w:tcPr>
          <w:p w:rsidR="00A84A53" w:rsidRPr="00A84A53" w:rsidRDefault="00A84A53" w:rsidP="00A84A5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84A5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2,0</w:t>
            </w:r>
          </w:p>
        </w:tc>
      </w:tr>
    </w:tbl>
    <w:p w:rsidR="00A84A53" w:rsidRPr="00A84A53" w:rsidRDefault="00A84A53" w:rsidP="00A84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br/>
        <w:t>4.Налоговые льготы</w:t>
      </w:r>
    </w:p>
    <w:p w:rsidR="00A84A53" w:rsidRPr="00A84A53" w:rsidRDefault="00A84A53" w:rsidP="00A84A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>Право на налоговую льготу имеют категории налогоплательщиков, определенные главой 32 "Налог на имущество физических лиц" Налогового Кодекса Российской Федерации».</w:t>
      </w:r>
    </w:p>
    <w:p w:rsidR="00A84A53" w:rsidRPr="00A84A53" w:rsidRDefault="00A84A53" w:rsidP="00A84A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>2.Настоящее решение вступает в силу с 1 января 2015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A84A53" w:rsidRDefault="00A84A53" w:rsidP="00A84A5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A84A53" w:rsidRDefault="00A84A53" w:rsidP="00A84A5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A84A53" w:rsidRPr="00A84A53" w:rsidRDefault="00A84A53" w:rsidP="00A84A5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A84A53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A84A53">
        <w:rPr>
          <w:rFonts w:ascii="Times New Roman" w:hAnsi="Times New Roman" w:cs="Times New Roman"/>
          <w:sz w:val="28"/>
          <w:szCs w:val="28"/>
        </w:rPr>
        <w:tab/>
      </w:r>
      <w:r w:rsidRPr="00A84A53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A84A53" w:rsidRDefault="00A84A53" w:rsidP="00A84A5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F33215" w:rsidRPr="00A84A53" w:rsidRDefault="00A84A53" w:rsidP="00A84A5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  <w:r w:rsidRPr="00A84A5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A84A53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A84A53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F33215" w:rsidRPr="00A84A53" w:rsidSect="00A84A53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53"/>
    <w:rsid w:val="000742C8"/>
    <w:rsid w:val="000C67B7"/>
    <w:rsid w:val="00122F5B"/>
    <w:rsid w:val="0020188D"/>
    <w:rsid w:val="0026573F"/>
    <w:rsid w:val="002B2B31"/>
    <w:rsid w:val="002C7066"/>
    <w:rsid w:val="0034296E"/>
    <w:rsid w:val="00377189"/>
    <w:rsid w:val="00461E35"/>
    <w:rsid w:val="0050219C"/>
    <w:rsid w:val="006524C5"/>
    <w:rsid w:val="006A0DA2"/>
    <w:rsid w:val="00A84A53"/>
    <w:rsid w:val="00AC4494"/>
    <w:rsid w:val="00B2043A"/>
    <w:rsid w:val="00B9025B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4A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84A5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A84A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4A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84A53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Title">
    <w:name w:val="ConsTitle"/>
    <w:rsid w:val="00A84A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BD8B46E18CF62C41D8962CA372268F7827B5203F2352A2AEE0CD3AE0256990C17D9F44DD293AF7WAW5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D34FE63CEC5AA27BC7814FC3416041A4672032642EEECD4B9483ECD1C0C7558C79AC332387m1h6E" TargetMode="External"/><Relationship Id="rId5" Type="http://schemas.openxmlformats.org/officeDocument/2006/relationships/hyperlink" Target="consultantplus://offline/ref=1CD5BF1AD3FF03EB4FF6C6548A5EE279FBB932341A1B0646509D262F1CBB13CE4E8034C24F92e6q3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2014-11-20T04:54:00Z</dcterms:created>
  <dcterms:modified xsi:type="dcterms:W3CDTF">2014-11-20T06:35:00Z</dcterms:modified>
</cp:coreProperties>
</file>