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886"/>
      </w:tblGrid>
      <w:tr w:rsidR="0060170C" w:rsidTr="00177645">
        <w:tc>
          <w:tcPr>
            <w:tcW w:w="11590" w:type="dxa"/>
            <w:gridSpan w:val="2"/>
          </w:tcPr>
          <w:p w:rsidR="0060170C" w:rsidRPr="0060170C" w:rsidRDefault="0060170C" w:rsidP="0060170C">
            <w:pPr>
              <w:jc w:val="center"/>
              <w:rPr>
                <w:rFonts w:ascii="Monotype Corsiva" w:hAnsi="Monotype Corsiva"/>
                <w:color w:val="FF0000"/>
                <w:sz w:val="32"/>
                <w:szCs w:val="32"/>
              </w:rPr>
            </w:pPr>
            <w:r w:rsidRPr="0060170C">
              <w:rPr>
                <w:rFonts w:ascii="Monotype Corsiva" w:hAnsi="Monotype Corsiva"/>
                <w:color w:val="FF0000"/>
                <w:sz w:val="32"/>
                <w:szCs w:val="32"/>
              </w:rPr>
              <w:t>Памятка о необходимости страхования имущества граждан</w:t>
            </w:r>
          </w:p>
        </w:tc>
      </w:tr>
      <w:tr w:rsidR="0060170C" w:rsidTr="00177645">
        <w:tc>
          <w:tcPr>
            <w:tcW w:w="5920" w:type="dxa"/>
          </w:tcPr>
          <w:p w:rsidR="0060170C" w:rsidRPr="0060170C" w:rsidRDefault="0060170C" w:rsidP="0060170C">
            <w:pPr>
              <w:jc w:val="both"/>
              <w:rPr>
                <w:rFonts w:ascii="Times New Roman" w:hAnsi="Times New Roman" w:cs="Times New Roman"/>
              </w:rPr>
            </w:pPr>
            <w:r w:rsidRPr="0060170C">
              <w:rPr>
                <w:rFonts w:ascii="Times New Roman" w:hAnsi="Times New Roman" w:cs="Times New Roman"/>
              </w:rPr>
              <w:t>Пока гром не грянет, мужик не перекрестится – эта знакомая с детства русская пословица, как ничто другое раскрывает отношение граждан к вопросам страхования. Менталитет граждан в отношении чрезвычайных ситуаций не позволяет подумать о возможном страховании рисков наступления событий, которые могут привести к уничтожению или повреждению жилых помещений.</w:t>
            </w:r>
            <w:r w:rsidRPr="0060170C">
              <w:rPr>
                <w:rFonts w:ascii="Times New Roman" w:hAnsi="Times New Roman" w:cs="Times New Roman"/>
              </w:rPr>
              <w:br/>
              <w:t>Нередко вопрос о страховании жилых помещений возникает уже после какого-либо несчастья — пожара, взрыва газа, затопления соседями и т. д.</w:t>
            </w:r>
          </w:p>
          <w:p w:rsidR="0060170C" w:rsidRPr="0060170C" w:rsidRDefault="0060170C" w:rsidP="0060170C">
            <w:pPr>
              <w:jc w:val="both"/>
              <w:rPr>
                <w:rFonts w:ascii="Times New Roman" w:hAnsi="Times New Roman" w:cs="Times New Roman"/>
                <w:b/>
              </w:rPr>
            </w:pPr>
            <w:r w:rsidRPr="0060170C">
              <w:rPr>
                <w:rFonts w:ascii="Times New Roman" w:hAnsi="Times New Roman" w:cs="Times New Roman"/>
                <w:b/>
              </w:rPr>
              <w:t xml:space="preserve">Своевременно застрахованное жилое помещение — это гарантия, пусть и неполной, но своевременной компенсации причинённого материального ущерба. </w:t>
            </w:r>
          </w:p>
          <w:p w:rsidR="0060170C" w:rsidRDefault="0060170C" w:rsidP="0060170C">
            <w:pPr>
              <w:jc w:val="both"/>
            </w:pPr>
            <w:r w:rsidRPr="0060170C">
              <w:rPr>
                <w:rFonts w:ascii="Times New Roman" w:hAnsi="Times New Roman" w:cs="Times New Roman"/>
              </w:rPr>
              <w:t xml:space="preserve">Объектом, подлежащим страхованию, является жилое помещение, включая конструктивные элементы, отделку, инженерное оборудование, внутренние коммуникации, относящиеся к этому жилому помещению. </w:t>
            </w:r>
          </w:p>
        </w:tc>
        <w:tc>
          <w:tcPr>
            <w:tcW w:w="5670" w:type="dxa"/>
          </w:tcPr>
          <w:p w:rsidR="00521817" w:rsidRDefault="00521817"/>
          <w:p w:rsidR="00521817" w:rsidRDefault="00521817"/>
          <w:p w:rsidR="00521817" w:rsidRDefault="00521817"/>
          <w:p w:rsidR="0060170C" w:rsidRDefault="00521817">
            <w:r w:rsidRPr="00521817">
              <w:drawing>
                <wp:inline distT="0" distB="0" distL="0" distR="0" wp14:anchorId="5790181C" wp14:editId="4DF9C73B">
                  <wp:extent cx="3600450" cy="1670131"/>
                  <wp:effectExtent l="0" t="0" r="0" b="6350"/>
                  <wp:docPr id="1" name="Рисунок 1" descr="https://avatars.mds.yandex.net/get-altay/4449685/2a0000017aa52681b066a14384f32704954d/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ltay/4449685/2a0000017aa52681b066a14384f32704954d/XX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670131"/>
                          </a:xfrm>
                          <a:prstGeom prst="rect">
                            <a:avLst/>
                          </a:prstGeom>
                          <a:noFill/>
                          <a:ln>
                            <a:noFill/>
                          </a:ln>
                        </pic:spPr>
                      </pic:pic>
                    </a:graphicData>
                  </a:graphic>
                </wp:inline>
              </w:drawing>
            </w:r>
          </w:p>
        </w:tc>
      </w:tr>
      <w:tr w:rsidR="0060170C" w:rsidTr="00177645">
        <w:tc>
          <w:tcPr>
            <w:tcW w:w="5920" w:type="dxa"/>
          </w:tcPr>
          <w:p w:rsidR="0060170C" w:rsidRDefault="00521817">
            <w:r w:rsidRPr="00521817">
              <w:drawing>
                <wp:inline distT="0" distB="0" distL="0" distR="0" wp14:anchorId="2DFECE05" wp14:editId="2332550F">
                  <wp:extent cx="3552825" cy="2719885"/>
                  <wp:effectExtent l="0" t="0" r="0" b="4445"/>
                  <wp:docPr id="3" name="Рисунок 3" descr="https://strax-net.1c-umi.ru/images/cms/data/imuwe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rax-net.1c-umi.ru/images/cms/data/imuwestv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5125" cy="2721646"/>
                          </a:xfrm>
                          <a:prstGeom prst="rect">
                            <a:avLst/>
                          </a:prstGeom>
                          <a:noFill/>
                          <a:ln>
                            <a:noFill/>
                          </a:ln>
                        </pic:spPr>
                      </pic:pic>
                    </a:graphicData>
                  </a:graphic>
                </wp:inline>
              </w:drawing>
            </w:r>
          </w:p>
        </w:tc>
        <w:tc>
          <w:tcPr>
            <w:tcW w:w="5670" w:type="dxa"/>
          </w:tcPr>
          <w:p w:rsidR="0060170C" w:rsidRPr="0060170C" w:rsidRDefault="0060170C" w:rsidP="0060170C">
            <w:pPr>
              <w:jc w:val="both"/>
              <w:rPr>
                <w:rFonts w:ascii="Times New Roman" w:hAnsi="Times New Roman" w:cs="Times New Roman"/>
              </w:rPr>
            </w:pPr>
            <w:r w:rsidRPr="0060170C">
              <w:rPr>
                <w:rFonts w:ascii="Times New Roman" w:hAnsi="Times New Roman" w:cs="Times New Roman"/>
              </w:rPr>
              <w:t xml:space="preserve">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proofErr w:type="gramStart"/>
            <w:r w:rsidRPr="0060170C">
              <w:rPr>
                <w:rFonts w:ascii="Times New Roman" w:hAnsi="Times New Roman" w:cs="Times New Roman"/>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roofErr w:type="gramEnd"/>
          </w:p>
        </w:tc>
        <w:bookmarkStart w:id="0" w:name="_GoBack"/>
        <w:bookmarkEnd w:id="0"/>
      </w:tr>
      <w:tr w:rsidR="0060170C" w:rsidTr="00177645">
        <w:tc>
          <w:tcPr>
            <w:tcW w:w="5920" w:type="dxa"/>
          </w:tcPr>
          <w:p w:rsidR="0060170C" w:rsidRDefault="0060170C" w:rsidP="00521817">
            <w:pPr>
              <w:jc w:val="both"/>
              <w:rPr>
                <w:rFonts w:ascii="Times New Roman" w:hAnsi="Times New Roman" w:cs="Times New Roman"/>
              </w:rPr>
            </w:pPr>
            <w:r w:rsidRPr="00521817">
              <w:rPr>
                <w:rFonts w:ascii="Times New Roman" w:hAnsi="Times New Roman" w:cs="Times New Roman"/>
              </w:rPr>
              <w:t xml:space="preserve">Страховой суммой является определенная договором страхования денежная сумма, </w:t>
            </w:r>
            <w:proofErr w:type="gramStart"/>
            <w:r w:rsidRPr="00521817">
              <w:rPr>
                <w:rFonts w:ascii="Times New Roman" w:hAnsi="Times New Roman" w:cs="Times New Roman"/>
              </w:rPr>
              <w:t>исходя из которой устанавливается</w:t>
            </w:r>
            <w:proofErr w:type="gramEnd"/>
            <w:r w:rsidRPr="00521817">
              <w:rPr>
                <w:rFonts w:ascii="Times New Roman" w:hAnsi="Times New Roman" w:cs="Times New Roman"/>
              </w:rPr>
              <w:t xml:space="preserve">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 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Предотвратить его подчас в наших с вами руках. Тем не менее, если уж он произошел, не лучше ли минимизировать его последствия?</w:t>
            </w:r>
          </w:p>
          <w:p w:rsidR="00521817" w:rsidRPr="00521817" w:rsidRDefault="00521817" w:rsidP="00521817">
            <w:pPr>
              <w:jc w:val="both"/>
              <w:rPr>
                <w:rFonts w:ascii="Times New Roman" w:hAnsi="Times New Roman" w:cs="Times New Roman"/>
              </w:rPr>
            </w:pPr>
          </w:p>
        </w:tc>
        <w:tc>
          <w:tcPr>
            <w:tcW w:w="5670" w:type="dxa"/>
          </w:tcPr>
          <w:p w:rsidR="00521817" w:rsidRDefault="00521817"/>
          <w:p w:rsidR="00521817" w:rsidRDefault="00521817"/>
          <w:p w:rsidR="00521817" w:rsidRDefault="00521817"/>
          <w:p w:rsidR="0060170C" w:rsidRDefault="00521817">
            <w:r w:rsidRPr="00521817">
              <w:drawing>
                <wp:inline distT="0" distB="0" distL="0" distR="0" wp14:anchorId="6DD47CBD" wp14:editId="0BC25D38">
                  <wp:extent cx="3543301" cy="2362200"/>
                  <wp:effectExtent l="0" t="0" r="0" b="0"/>
                  <wp:docPr id="2" name="Рисунок 2" descr="https://sun9-1.userapi.com/impg/Eqp37mpeKXhLXaNQTA6Hp-orJDYKvBhMsCNlYA/2U_-bBhzLZo.jpg?size=1200x800&amp;quality=95&amp;sign=4ddd0638ae9da22d86edb77a1c03835f&amp;c_uniq_tag=3snEEcFhZO1sRSWF0_Wi6U11_vSg9WMBVtorm69KJJ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userapi.com/impg/Eqp37mpeKXhLXaNQTA6Hp-orJDYKvBhMsCNlYA/2U_-bBhzLZo.jpg?size=1200x800&amp;quality=95&amp;sign=4ddd0638ae9da22d86edb77a1c03835f&amp;c_uniq_tag=3snEEcFhZO1sRSWF0_Wi6U11_vSg9WMBVtorm69KJJA&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358" cy="2366238"/>
                          </a:xfrm>
                          <a:prstGeom prst="rect">
                            <a:avLst/>
                          </a:prstGeom>
                          <a:noFill/>
                          <a:ln>
                            <a:noFill/>
                          </a:ln>
                        </pic:spPr>
                      </pic:pic>
                    </a:graphicData>
                  </a:graphic>
                </wp:inline>
              </w:drawing>
            </w:r>
          </w:p>
        </w:tc>
      </w:tr>
      <w:tr w:rsidR="00521817" w:rsidTr="00177645">
        <w:tc>
          <w:tcPr>
            <w:tcW w:w="11590" w:type="dxa"/>
            <w:gridSpan w:val="2"/>
          </w:tcPr>
          <w:p w:rsidR="00521817" w:rsidRPr="00521817" w:rsidRDefault="00521817" w:rsidP="00521817">
            <w:pPr>
              <w:jc w:val="center"/>
              <w:rPr>
                <w:rFonts w:ascii="Times New Roman" w:hAnsi="Times New Roman" w:cs="Times New Roman"/>
              </w:rPr>
            </w:pPr>
            <w:r w:rsidRPr="00521817">
              <w:rPr>
                <w:rFonts w:ascii="Times New Roman" w:hAnsi="Times New Roman" w:cs="Times New Roman"/>
              </w:rPr>
              <w:t>Одним из таких способов является своевременное страхование жилого помещения.</w:t>
            </w:r>
          </w:p>
        </w:tc>
      </w:tr>
      <w:tr w:rsidR="00521817" w:rsidTr="00177645">
        <w:tc>
          <w:tcPr>
            <w:tcW w:w="5920" w:type="dxa"/>
          </w:tcPr>
          <w:p w:rsidR="00521817" w:rsidRPr="00521817" w:rsidRDefault="00521817" w:rsidP="00521817">
            <w:pPr>
              <w:jc w:val="both"/>
              <w:rPr>
                <w:rFonts w:ascii="Times New Roman" w:hAnsi="Times New Roman" w:cs="Times New Roman"/>
              </w:rPr>
            </w:pPr>
          </w:p>
        </w:tc>
        <w:tc>
          <w:tcPr>
            <w:tcW w:w="5670" w:type="dxa"/>
          </w:tcPr>
          <w:p w:rsidR="00521817" w:rsidRDefault="00521817"/>
        </w:tc>
      </w:tr>
      <w:tr w:rsidR="00521817" w:rsidTr="00177645">
        <w:tc>
          <w:tcPr>
            <w:tcW w:w="11590" w:type="dxa"/>
            <w:gridSpan w:val="2"/>
          </w:tcPr>
          <w:p w:rsidR="00521817" w:rsidRPr="00521817" w:rsidRDefault="00521817" w:rsidP="00521817">
            <w:pPr>
              <w:jc w:val="both"/>
              <w:rPr>
                <w:rFonts w:ascii="Times New Roman" w:hAnsi="Times New Roman" w:cs="Times New Roman"/>
              </w:rPr>
            </w:pPr>
            <w:r w:rsidRPr="00521817">
              <w:rPr>
                <w:rFonts w:ascii="Times New Roman" w:hAnsi="Times New Roman" w:cs="Times New Roman"/>
              </w:rPr>
              <w:t>За подробной информацией о заключении договора страхования имущества можно обратиться в любую страховую компанию</w:t>
            </w:r>
          </w:p>
        </w:tc>
      </w:tr>
      <w:tr w:rsidR="00521817" w:rsidTr="00177645">
        <w:tc>
          <w:tcPr>
            <w:tcW w:w="5920" w:type="dxa"/>
          </w:tcPr>
          <w:p w:rsidR="00521817" w:rsidRPr="00521817" w:rsidRDefault="00521817" w:rsidP="00521817">
            <w:pPr>
              <w:jc w:val="both"/>
              <w:rPr>
                <w:rFonts w:ascii="Times New Roman" w:hAnsi="Times New Roman" w:cs="Times New Roman"/>
              </w:rPr>
            </w:pPr>
          </w:p>
        </w:tc>
        <w:tc>
          <w:tcPr>
            <w:tcW w:w="5670" w:type="dxa"/>
          </w:tcPr>
          <w:p w:rsidR="00521817" w:rsidRDefault="00521817"/>
        </w:tc>
      </w:tr>
      <w:tr w:rsidR="00521817" w:rsidTr="00177645">
        <w:tc>
          <w:tcPr>
            <w:tcW w:w="11590" w:type="dxa"/>
            <w:gridSpan w:val="2"/>
          </w:tcPr>
          <w:p w:rsidR="00521817" w:rsidRDefault="00521817" w:rsidP="00521817">
            <w:pPr>
              <w:jc w:val="center"/>
              <w:rPr>
                <w:rFonts w:ascii="Times New Roman" w:hAnsi="Times New Roman" w:cs="Times New Roman"/>
              </w:rPr>
            </w:pPr>
            <w:r>
              <w:rPr>
                <w:rFonts w:ascii="Times New Roman" w:hAnsi="Times New Roman" w:cs="Times New Roman"/>
              </w:rPr>
              <w:t>Отдел гражданской защиты администрации городского поселения «Город Амурск»</w:t>
            </w:r>
          </w:p>
          <w:p w:rsidR="00521817" w:rsidRDefault="00521817" w:rsidP="00521817">
            <w:pPr>
              <w:jc w:val="center"/>
            </w:pPr>
            <w:r>
              <w:rPr>
                <w:rFonts w:ascii="Times New Roman" w:hAnsi="Times New Roman" w:cs="Times New Roman"/>
              </w:rPr>
              <w:t>2-53-01, 3-93-31, 99-7-91</w:t>
            </w:r>
          </w:p>
        </w:tc>
      </w:tr>
    </w:tbl>
    <w:p w:rsidR="00E466FF" w:rsidRDefault="00E466FF"/>
    <w:sectPr w:rsidR="00E466FF" w:rsidSect="0060170C">
      <w:pgSz w:w="11906" w:h="16838"/>
      <w:pgMar w:top="142" w:right="14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0C"/>
    <w:rsid w:val="00177645"/>
    <w:rsid w:val="00521817"/>
    <w:rsid w:val="0060170C"/>
    <w:rsid w:val="00E4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Забаровский Александр Михайлович</dc:creator>
  <cp:lastModifiedBy>Забаровский Александр Михайлович</cp:lastModifiedBy>
  <cp:revision>2</cp:revision>
  <dcterms:created xsi:type="dcterms:W3CDTF">2023-10-10T23:49:00Z</dcterms:created>
  <dcterms:modified xsi:type="dcterms:W3CDTF">2023-10-11T00:00:00Z</dcterms:modified>
</cp:coreProperties>
</file>