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733B9F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19.02.2015                                                                                                               </w:t>
      </w:r>
      <w:r w:rsidR="003A0236">
        <w:rPr>
          <w:rFonts w:ascii="Times New Roman" w:hAnsi="Times New Roman"/>
          <w:spacing w:val="-4"/>
          <w:sz w:val="28"/>
          <w:szCs w:val="28"/>
        </w:rPr>
        <w:t xml:space="preserve">     </w:t>
      </w:r>
      <w:r>
        <w:rPr>
          <w:rFonts w:ascii="Times New Roman" w:hAnsi="Times New Roman"/>
          <w:spacing w:val="-4"/>
          <w:sz w:val="28"/>
          <w:szCs w:val="28"/>
        </w:rPr>
        <w:t>№ 128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3A0236">
      <w:pPr>
        <w:pStyle w:val="2"/>
        <w:rPr>
          <w:b w:val="0"/>
          <w:szCs w:val="28"/>
        </w:rPr>
      </w:pPr>
    </w:p>
    <w:p w:rsidR="00F33215" w:rsidRPr="00373908" w:rsidRDefault="00F33215" w:rsidP="003A0236">
      <w:pPr>
        <w:pStyle w:val="2"/>
        <w:rPr>
          <w:b w:val="0"/>
          <w:szCs w:val="28"/>
        </w:rPr>
      </w:pPr>
    </w:p>
    <w:p w:rsidR="0062711B" w:rsidRPr="00373908" w:rsidRDefault="0062711B" w:rsidP="00CF7D5C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регулирования арендных отношений, предметом которых являются  земельные участки, расположенные на территории городского поселения «Город Амурск» Амурского муниципального района, государственная собственность </w:t>
      </w:r>
      <w:proofErr w:type="gramStart"/>
      <w:r w:rsidRPr="003739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73908">
        <w:rPr>
          <w:rFonts w:ascii="Times New Roman" w:hAnsi="Times New Roman" w:cs="Times New Roman"/>
          <w:sz w:val="28"/>
          <w:szCs w:val="28"/>
        </w:rPr>
        <w:t xml:space="preserve"> которые не разграничена</w:t>
      </w:r>
    </w:p>
    <w:p w:rsidR="0062711B" w:rsidRDefault="0062711B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3908" w:rsidRPr="00373908" w:rsidRDefault="00373908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711B" w:rsidRPr="00373908" w:rsidRDefault="0062711B" w:rsidP="0037390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3908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25 октября 2001г №137 –ФЗ «О введение в действие  Земельного кодекса Российской Федерации», Федеральным  законом от 23 июня 2014 г. №171 «О внесении изменений в Земельный кодекс Российской Федерации и отдельные законодательные акты Российской Федерации», Уставом городского поселения «Город Амурск», в целях регулирования арендных отношений, предметом которых являются  земельные участки</w:t>
      </w:r>
      <w:proofErr w:type="gramEnd"/>
      <w:r w:rsidRPr="0037390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73908">
        <w:rPr>
          <w:rFonts w:ascii="Times New Roman" w:hAnsi="Times New Roman" w:cs="Times New Roman"/>
          <w:sz w:val="28"/>
          <w:szCs w:val="28"/>
        </w:rPr>
        <w:t>расположенные на территории городского поселения «Город Амурск» Амурского муниципального района, государственная собственность на которые не разграничена,</w:t>
      </w:r>
      <w:r w:rsidR="00373908">
        <w:rPr>
          <w:rFonts w:ascii="Times New Roman" w:hAnsi="Times New Roman" w:cs="Times New Roman"/>
          <w:sz w:val="28"/>
          <w:szCs w:val="28"/>
        </w:rPr>
        <w:t xml:space="preserve"> </w:t>
      </w:r>
      <w:r w:rsidRPr="00373908">
        <w:rPr>
          <w:rFonts w:ascii="Times New Roman" w:hAnsi="Times New Roman" w:cs="Times New Roman"/>
          <w:sz w:val="28"/>
          <w:szCs w:val="28"/>
        </w:rPr>
        <w:t>Совет депутатов городского поселения «Город Амурск»</w:t>
      </w:r>
      <w:proofErr w:type="gramEnd"/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РЕШИЛ:</w:t>
      </w:r>
    </w:p>
    <w:p w:rsidR="0062711B" w:rsidRPr="00373908" w:rsidRDefault="0062711B" w:rsidP="003739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1.Утвердить прилагаемое Положение о порядке регулирования арендных отношений, предметом которых являются  земельные участки, расположенные на территории городского поселения «Город Амурск» Амурского муниципального района, государственная собственность, </w:t>
      </w:r>
      <w:proofErr w:type="gramStart"/>
      <w:r w:rsidRPr="003739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73908">
        <w:rPr>
          <w:rFonts w:ascii="Times New Roman" w:hAnsi="Times New Roman" w:cs="Times New Roman"/>
          <w:sz w:val="28"/>
          <w:szCs w:val="28"/>
        </w:rPr>
        <w:t xml:space="preserve"> которые не разграничена.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2. Настоящее решение вступает в силу с 01 марта 2015 г.</w:t>
      </w:r>
    </w:p>
    <w:p w:rsidR="00373908" w:rsidRDefault="00373908" w:rsidP="0037390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373908" w:rsidRDefault="00373908" w:rsidP="0037390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62711B" w:rsidRPr="00373908" w:rsidRDefault="0062711B" w:rsidP="0037390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373908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373908">
        <w:rPr>
          <w:rFonts w:ascii="Times New Roman" w:hAnsi="Times New Roman" w:cs="Times New Roman"/>
          <w:sz w:val="28"/>
          <w:szCs w:val="28"/>
        </w:rPr>
        <w:tab/>
      </w:r>
      <w:r w:rsidRPr="00373908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373908" w:rsidRDefault="00373908" w:rsidP="0037390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373908" w:rsidRDefault="00373908" w:rsidP="0037390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62711B" w:rsidRPr="00373908" w:rsidRDefault="0062711B" w:rsidP="0037390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373908">
        <w:rPr>
          <w:rFonts w:ascii="Times New Roman" w:hAnsi="Times New Roman" w:cs="Times New Roman"/>
          <w:sz w:val="28"/>
          <w:szCs w:val="28"/>
        </w:rPr>
        <w:tab/>
        <w:t xml:space="preserve">Л.Е. </w:t>
      </w:r>
      <w:proofErr w:type="spellStart"/>
      <w:r w:rsidRPr="00373908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62711B" w:rsidRPr="00373908" w:rsidRDefault="0062711B" w:rsidP="0037390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62711B" w:rsidRPr="00373908" w:rsidRDefault="0062711B" w:rsidP="00373908">
      <w:pPr>
        <w:spacing w:after="0" w:line="240" w:lineRule="auto"/>
        <w:ind w:firstLine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62711B" w:rsidRDefault="0062711B" w:rsidP="00373908">
      <w:pPr>
        <w:spacing w:after="0" w:line="240" w:lineRule="auto"/>
        <w:ind w:firstLine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A4C5B" w:rsidRPr="00373908" w:rsidRDefault="00DA4C5B" w:rsidP="00373908">
      <w:pPr>
        <w:spacing w:after="0" w:line="240" w:lineRule="auto"/>
        <w:ind w:firstLine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62711B" w:rsidRDefault="0062711B" w:rsidP="00373908">
      <w:pPr>
        <w:spacing w:after="0" w:line="240" w:lineRule="auto"/>
        <w:ind w:firstLine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8D6686" w:rsidRDefault="008D6686" w:rsidP="00FD5E8A">
      <w:pPr>
        <w:spacing w:after="0" w:line="240" w:lineRule="exact"/>
        <w:ind w:firstLine="5812"/>
        <w:outlineLvl w:val="1"/>
        <w:rPr>
          <w:rFonts w:ascii="Times New Roman" w:hAnsi="Times New Roman" w:cs="Times New Roman"/>
          <w:sz w:val="28"/>
          <w:szCs w:val="28"/>
        </w:rPr>
      </w:pPr>
    </w:p>
    <w:p w:rsidR="008D6686" w:rsidRDefault="008D6686" w:rsidP="00FD5E8A">
      <w:pPr>
        <w:spacing w:after="0" w:line="240" w:lineRule="exact"/>
        <w:ind w:firstLine="5812"/>
        <w:outlineLvl w:val="1"/>
        <w:rPr>
          <w:rFonts w:ascii="Times New Roman" w:hAnsi="Times New Roman" w:cs="Times New Roman"/>
          <w:sz w:val="28"/>
          <w:szCs w:val="28"/>
        </w:rPr>
        <w:sectPr w:rsidR="008D6686" w:rsidSect="005E0D3F">
          <w:headerReference w:type="default" r:id="rId9"/>
          <w:pgSz w:w="11906" w:h="16838"/>
          <w:pgMar w:top="227" w:right="567" w:bottom="1134" w:left="1701" w:header="709" w:footer="709" w:gutter="0"/>
          <w:pgNumType w:start="3"/>
          <w:cols w:space="708"/>
          <w:titlePg/>
          <w:docGrid w:linePitch="360"/>
        </w:sectPr>
      </w:pPr>
    </w:p>
    <w:p w:rsidR="0062711B" w:rsidRPr="00373908" w:rsidRDefault="0062711B" w:rsidP="00FD5E8A">
      <w:pPr>
        <w:spacing w:after="0" w:line="240" w:lineRule="exact"/>
        <w:ind w:firstLine="5812"/>
        <w:outlineLvl w:val="1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2711B" w:rsidRPr="00373908" w:rsidRDefault="0062711B" w:rsidP="00FD5E8A">
      <w:pPr>
        <w:spacing w:after="0" w:line="240" w:lineRule="exact"/>
        <w:ind w:firstLine="5812"/>
        <w:outlineLvl w:val="1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62711B" w:rsidRPr="00373908" w:rsidRDefault="0062711B" w:rsidP="00FD5E8A">
      <w:pPr>
        <w:spacing w:after="0" w:line="240" w:lineRule="exact"/>
        <w:ind w:firstLine="5812"/>
        <w:outlineLvl w:val="1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62711B" w:rsidRPr="00373908" w:rsidRDefault="0062711B" w:rsidP="00FD5E8A">
      <w:pPr>
        <w:spacing w:after="0" w:line="240" w:lineRule="exact"/>
        <w:ind w:firstLine="5812"/>
        <w:outlineLvl w:val="1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62711B" w:rsidRPr="00373908" w:rsidRDefault="007A07E8" w:rsidP="00FD5E8A">
      <w:pPr>
        <w:spacing w:after="0" w:line="240" w:lineRule="exact"/>
        <w:ind w:firstLine="58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19.02.2015 </w:t>
      </w:r>
      <w:r w:rsidR="0062711B" w:rsidRPr="0037390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128</w:t>
      </w:r>
    </w:p>
    <w:p w:rsidR="0062711B" w:rsidRPr="00373908" w:rsidRDefault="0062711B" w:rsidP="0037390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2711B" w:rsidRPr="00373908" w:rsidRDefault="0062711B" w:rsidP="00373908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62711B" w:rsidRPr="00373908" w:rsidRDefault="0062711B" w:rsidP="00FD5E8A">
      <w:pPr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Положение</w:t>
      </w:r>
    </w:p>
    <w:p w:rsidR="0062711B" w:rsidRPr="00373908" w:rsidRDefault="0062711B" w:rsidP="00FD5E8A">
      <w:pPr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о порядке регулирования арендных отношений, предметом которых являются земельные участки, расположенные на территории городского поселения </w:t>
      </w:r>
    </w:p>
    <w:p w:rsidR="0062711B" w:rsidRPr="00373908" w:rsidRDefault="0062711B" w:rsidP="00FD5E8A">
      <w:pPr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«Город Амурск» Амурского муниципального района, государственная собственность,</w:t>
      </w:r>
      <w:r w:rsidR="00373908">
        <w:rPr>
          <w:rFonts w:ascii="Times New Roman" w:hAnsi="Times New Roman" w:cs="Times New Roman"/>
          <w:sz w:val="28"/>
          <w:szCs w:val="28"/>
        </w:rPr>
        <w:t xml:space="preserve"> </w:t>
      </w:r>
      <w:r w:rsidRPr="0037390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373908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373908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</w:p>
    <w:p w:rsidR="0062711B" w:rsidRPr="00373908" w:rsidRDefault="0062711B" w:rsidP="00373908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62711B" w:rsidRPr="00435514" w:rsidRDefault="00435514" w:rsidP="00435514">
      <w:pPr>
        <w:pStyle w:val="a9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35514">
        <w:rPr>
          <w:rFonts w:ascii="Times New Roman" w:hAnsi="Times New Roman" w:cs="Times New Roman"/>
          <w:b/>
          <w:sz w:val="28"/>
          <w:szCs w:val="28"/>
        </w:rPr>
        <w:t>1.</w:t>
      </w:r>
      <w:r w:rsidR="0062711B" w:rsidRPr="0043551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1.1. Аренда земельного участка - это основанное на договоре срочное возмездное (за плату) владение и использование земельного участка, необходимого арендатору для самостоятельного осуществления хозяйственной деятельности.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1.2. Настоящий Порядок подлежит применению, когда предметом аренды являются земельные участки, расположенные на территории городского поселения «Город Амурск» Амурского муниципального района, государственная собственность </w:t>
      </w:r>
      <w:proofErr w:type="gramStart"/>
      <w:r w:rsidRPr="003739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73908">
        <w:rPr>
          <w:rFonts w:ascii="Times New Roman" w:hAnsi="Times New Roman" w:cs="Times New Roman"/>
          <w:sz w:val="28"/>
          <w:szCs w:val="28"/>
        </w:rPr>
        <w:t xml:space="preserve"> которые не разграничена.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1.3. Основным документом, регламентирующим отношения арендодателя и арендатора, является договор, который заключается в письменной форме и служит основанием действия договора и оплаты арендных платежей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1.4. Порядок, условия и сроки внесения арендной платы определяются договором аренды.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Порядок определения размера арендной платы за использование земельных участков, государственная собственность на которые не разграничена, на территории городского поселения «Город Амурск»  Амурского муниципального района  определяется в соответствии с нормативными правовыми актами Российской Федерации, Хабаровского края.</w:t>
      </w:r>
    </w:p>
    <w:p w:rsidR="0062711B" w:rsidRPr="00262CF4" w:rsidRDefault="0062711B" w:rsidP="00262CF4">
      <w:pPr>
        <w:pStyle w:val="a9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2CF4">
        <w:rPr>
          <w:rFonts w:ascii="Times New Roman" w:hAnsi="Times New Roman" w:cs="Times New Roman"/>
          <w:sz w:val="28"/>
          <w:szCs w:val="28"/>
        </w:rPr>
        <w:t>Арендатор не вправе без письменного согласия арендодателя сдавать арендованный земельный участок либо его часть в субаренду и передавать свои права и обязанности по договору аренды другому лицу, предоставлять арендованный земельный участок в безвозмездное пользование, а также отдавать арендные права в залог и вносить их в качестве вклада в уставной капитал хозяйственных обществ и товариществ или паевого взноса в производственный кооператив</w:t>
      </w:r>
      <w:proofErr w:type="gramEnd"/>
      <w:r w:rsidRPr="00262CF4">
        <w:rPr>
          <w:rFonts w:ascii="Times New Roman" w:hAnsi="Times New Roman" w:cs="Times New Roman"/>
          <w:sz w:val="28"/>
          <w:szCs w:val="28"/>
        </w:rPr>
        <w:t>. В указанных случаях ответственным по договору перед арендодателем остается арендатор.</w:t>
      </w:r>
    </w:p>
    <w:p w:rsidR="0062711B" w:rsidRPr="00435514" w:rsidRDefault="00FD5E8A" w:rsidP="00FD5E8A">
      <w:pPr>
        <w:pStyle w:val="a9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51"/>
      <w:bookmarkEnd w:id="1"/>
      <w:r w:rsidRPr="00435514">
        <w:rPr>
          <w:rFonts w:ascii="Times New Roman" w:hAnsi="Times New Roman" w:cs="Times New Roman"/>
          <w:b/>
          <w:sz w:val="28"/>
          <w:szCs w:val="28"/>
        </w:rPr>
        <w:t>2.</w:t>
      </w:r>
      <w:r w:rsidR="0062711B" w:rsidRPr="00435514">
        <w:rPr>
          <w:rFonts w:ascii="Times New Roman" w:hAnsi="Times New Roman" w:cs="Times New Roman"/>
          <w:b/>
          <w:sz w:val="28"/>
          <w:szCs w:val="28"/>
        </w:rPr>
        <w:t>ПОРЯДОК ПРЕДОСТАВЛЕНИЯ ЗЕМЕЛЬНЫХ УЧАСТКОВ В АРЕНДУ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373908">
        <w:rPr>
          <w:rFonts w:ascii="Times New Roman" w:hAnsi="Times New Roman" w:cs="Times New Roman"/>
          <w:sz w:val="28"/>
          <w:szCs w:val="28"/>
        </w:rPr>
        <w:t xml:space="preserve">Земельные участки, расположенные на территории городского поселения «Город Амурск» Амурского муниципального района, государственная собственность на которые не разграничена,  предоставляются в аренду юридическим либо физическим лицам и лицам, зарегистрированным в качестве граждан, осуществляющих предпринимательскую деятельность. </w:t>
      </w:r>
      <w:proofErr w:type="gramEnd"/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lastRenderedPageBreak/>
        <w:t>2.2. Все заявления по вопросам предоставления в аренду земельных участков подаются на имя  главы городского поселения «Город Амурск» Амурского муниципального района в письменной или электронной форме с использованием информационно-телекоммуникационных сетей общего пользования, в том числе сети "Интернет".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В заявлении должны быть определены цель использования земельного участка, его предполагаемые размеры и местоположение, испрашиваемое право на землю.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62711B" w:rsidRPr="00373908" w:rsidRDefault="0062711B" w:rsidP="003739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         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лица.</w:t>
      </w:r>
    </w:p>
    <w:p w:rsidR="0062711B" w:rsidRPr="00373908" w:rsidRDefault="0062711B" w:rsidP="003739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62711B" w:rsidRPr="00373908" w:rsidRDefault="0062711B" w:rsidP="003739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Копии документов, удостоверяющих (устанавливающих) права заявителя на здание, строение, сооружение, расположенные на земельном участке,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 (далее - ЕГРП).</w:t>
      </w:r>
    </w:p>
    <w:p w:rsidR="0062711B" w:rsidRPr="00373908" w:rsidRDefault="0062711B" w:rsidP="003739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Ситуационный план с указанием границ земельного участка в случае, если земельный участок не сформирован и не поставлен на кадастровый учет.</w:t>
      </w:r>
    </w:p>
    <w:p w:rsidR="0062711B" w:rsidRPr="00373908" w:rsidRDefault="0062711B" w:rsidP="003739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     Заявитель вправе по своему усмотрению приложить к заявлению следующие документы:</w:t>
      </w:r>
    </w:p>
    <w:p w:rsidR="0062711B" w:rsidRPr="00373908" w:rsidRDefault="0062711B" w:rsidP="003739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-Копию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копию свидетельства о государственной регистрации юридического лица (для юридических лиц) или выписку из государственных реестров о юридическом лице или индивидуальном предпринимателе, являющемся заявителем, ходатайствующем о приобретении прав на земельный участок.</w:t>
      </w:r>
    </w:p>
    <w:p w:rsidR="0062711B" w:rsidRPr="00373908" w:rsidRDefault="0062711B" w:rsidP="003739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Выписку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участок.</w:t>
      </w:r>
    </w:p>
    <w:p w:rsidR="0062711B" w:rsidRPr="00373908" w:rsidRDefault="0062711B" w:rsidP="003739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При наличии зданий, строений, сооружений на земельном участке - выписки из ЕГРП о правах на здание, строение, сооружение, находящиеся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сооружения.</w:t>
      </w:r>
    </w:p>
    <w:p w:rsidR="0062711B" w:rsidRPr="00373908" w:rsidRDefault="0062711B" w:rsidP="003739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3908">
        <w:rPr>
          <w:rFonts w:ascii="Times New Roman" w:hAnsi="Times New Roman" w:cs="Times New Roman"/>
          <w:sz w:val="28"/>
          <w:szCs w:val="28"/>
        </w:rPr>
        <w:t>- Кадастровый паспорт (если земельный участок поставлен на государственный кадастровый учет до 01.03.2008 - выписку из государственного земельного кадастра (кадастровый план земельного участка (разделы В.1, В.2, В.3 и В.4 - при наличии соответствующих сведений в государственном земельном кадастре).</w:t>
      </w:r>
      <w:proofErr w:type="gramEnd"/>
    </w:p>
    <w:p w:rsidR="0062711B" w:rsidRPr="00373908" w:rsidRDefault="0062711B" w:rsidP="00A57C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lastRenderedPageBreak/>
        <w:t>2.3.</w:t>
      </w:r>
      <w:r w:rsidR="00A57CC0">
        <w:rPr>
          <w:rFonts w:ascii="Times New Roman" w:hAnsi="Times New Roman" w:cs="Times New Roman"/>
          <w:sz w:val="28"/>
          <w:szCs w:val="28"/>
        </w:rPr>
        <w:t xml:space="preserve"> </w:t>
      </w:r>
      <w:r w:rsidRPr="00373908">
        <w:rPr>
          <w:rFonts w:ascii="Times New Roman" w:hAnsi="Times New Roman" w:cs="Times New Roman"/>
          <w:sz w:val="28"/>
          <w:szCs w:val="28"/>
        </w:rPr>
        <w:t xml:space="preserve">Предоставление земельного участка и заключение договора аренды земельного участка осуществляется на основании распоряжения администрации городского поселения «Город Амурск» Амурского муниципального района (далее </w:t>
      </w:r>
      <w:proofErr w:type="gramStart"/>
      <w:r w:rsidRPr="00373908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Pr="00373908">
        <w:rPr>
          <w:rFonts w:ascii="Times New Roman" w:hAnsi="Times New Roman" w:cs="Times New Roman"/>
          <w:sz w:val="28"/>
          <w:szCs w:val="28"/>
        </w:rPr>
        <w:t>дминистрации).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2.4.</w:t>
      </w:r>
      <w:r w:rsidR="00A57CC0">
        <w:rPr>
          <w:rFonts w:ascii="Times New Roman" w:hAnsi="Times New Roman" w:cs="Times New Roman"/>
          <w:sz w:val="28"/>
          <w:szCs w:val="28"/>
        </w:rPr>
        <w:t xml:space="preserve"> </w:t>
      </w:r>
      <w:r w:rsidRPr="00373908">
        <w:rPr>
          <w:rFonts w:ascii="Times New Roman" w:hAnsi="Times New Roman" w:cs="Times New Roman"/>
          <w:sz w:val="28"/>
          <w:szCs w:val="28"/>
        </w:rPr>
        <w:t>Продление договора аренды земельного участка на новый срок осуществляется на основании заявления арендатора и распоряжения администрации  путем заключения дополнительного соглашения о внесении изменений в договор аренды земельного участка.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2.5.</w:t>
      </w:r>
      <w:r w:rsidR="00A57CC0">
        <w:rPr>
          <w:rFonts w:ascii="Times New Roman" w:hAnsi="Times New Roman" w:cs="Times New Roman"/>
          <w:sz w:val="28"/>
          <w:szCs w:val="28"/>
        </w:rPr>
        <w:t xml:space="preserve"> </w:t>
      </w:r>
      <w:r w:rsidRPr="00373908">
        <w:rPr>
          <w:rFonts w:ascii="Times New Roman" w:hAnsi="Times New Roman" w:cs="Times New Roman"/>
          <w:sz w:val="28"/>
          <w:szCs w:val="28"/>
        </w:rPr>
        <w:t>Расторжение договора аренды земельного участка осуществляется на основании  заявления арендатора  и распоряжения администрации или решения суда.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2.6.</w:t>
      </w:r>
      <w:r w:rsidR="00A57CC0">
        <w:rPr>
          <w:rFonts w:ascii="Times New Roman" w:hAnsi="Times New Roman" w:cs="Times New Roman"/>
          <w:sz w:val="28"/>
          <w:szCs w:val="28"/>
        </w:rPr>
        <w:t xml:space="preserve"> </w:t>
      </w:r>
      <w:r w:rsidRPr="00373908">
        <w:rPr>
          <w:rFonts w:ascii="Times New Roman" w:hAnsi="Times New Roman" w:cs="Times New Roman"/>
          <w:sz w:val="28"/>
          <w:szCs w:val="28"/>
        </w:rPr>
        <w:t>При поступлении заявлений юридических и физических лиц по вопросам предоставления в аренду земельных участков Отдел по управлению муниципальным имуществом  администрации: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в 30-дневный срок со дня поступления заявления рассматривает вопрос о возможности предоставления земельного участка либо направляет заявителю мотивированный отказ;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обеспечивает подготовку информации о земельном участке, условиях его предоставления и публикует такую информацию на официальном сайте администрации городского поселения «Город Амурск» Амурского муниципального района в сети "Интернет";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3908">
        <w:rPr>
          <w:rFonts w:ascii="Times New Roman" w:hAnsi="Times New Roman" w:cs="Times New Roman"/>
          <w:sz w:val="28"/>
          <w:szCs w:val="28"/>
        </w:rPr>
        <w:t>- в случае если по истечении срока не менее 10 календарных дней со дня опубликования информации о предстоящем предоставлении в аренду земельного участка других заявлений не поступило, выдает заявителю направление в землеустроительную организацию на проведение работ по межеванию и подготовку кадастровым инженером схемы расположения земельного участка на кадастровом плане или кадастровой карте территории.</w:t>
      </w:r>
      <w:proofErr w:type="gramEnd"/>
      <w:r w:rsidRPr="00373908">
        <w:rPr>
          <w:rFonts w:ascii="Times New Roman" w:hAnsi="Times New Roman" w:cs="Times New Roman"/>
          <w:sz w:val="28"/>
          <w:szCs w:val="28"/>
        </w:rPr>
        <w:t xml:space="preserve"> Порядок утверждения и выдачи схем расположения земельных участков на кадастровом плане или кадастровой карте территории определяется муниципальными нормативно-правовыми актами.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2.7. Заявитель после получения схемы расположения земельного участка на кадастровом плане или кадастровой карте территории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Федеральным </w:t>
      </w:r>
      <w:hyperlink r:id="rId10" w:history="1">
        <w:r w:rsidRPr="0037390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3908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2.9. В случае поступления в пределах указанного срока других заявлений о предоставлении в аренду такого земельного участка проводится аукцион по продаже права на заключение договора аренды земельного участка в порядке, установленном действующим законодательством.</w:t>
      </w:r>
    </w:p>
    <w:p w:rsidR="0062711B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2.10. В двухнедельный срок со дня предоставления кадастрового паспорта земельный участок передается в аренду заявителю.</w:t>
      </w:r>
    </w:p>
    <w:p w:rsidR="0062711B" w:rsidRPr="00435514" w:rsidRDefault="0062711B" w:rsidP="0043551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53"/>
      <w:bookmarkEnd w:id="2"/>
      <w:r w:rsidRPr="00435514">
        <w:rPr>
          <w:rFonts w:ascii="Times New Roman" w:hAnsi="Times New Roman" w:cs="Times New Roman"/>
          <w:b/>
          <w:sz w:val="28"/>
          <w:szCs w:val="28"/>
        </w:rPr>
        <w:t>3.ПОРЯДОК РЕГИСТРАЦИИ ДОГОВОРОВ АРЕНДЫ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3.1. Договоры аренды земельных участков, заключенные на срок год и более года, подлежат государственной регистрации.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lastRenderedPageBreak/>
        <w:t>Согласно условиям договора аренды земельного участка обязанность подать документы на государственную регистрацию договора аренды земельного участка возлагается на арендатора в течение месячного срока со дня подписания договора аренды земельного участка.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Отсутствие государственной регистрации договора аренды земельного участка не является основанием для невыплаты Арендатором платежей по договору аренды земельного участка.</w:t>
      </w:r>
    </w:p>
    <w:p w:rsidR="0062711B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373908">
        <w:rPr>
          <w:rFonts w:ascii="Times New Roman" w:hAnsi="Times New Roman" w:cs="Times New Roman"/>
          <w:sz w:val="28"/>
          <w:szCs w:val="28"/>
        </w:rPr>
        <w:t>В случае досрочного расторжения договора аренды по соглашению сторон или в судебном порядке арендодатель предоставляет в орган, осуществляющий государственную регистрацию, оформленное соглашение или копию решения суда о расторжении договора аренды в течение десяти дней с момента его подписания сторонами или вступления в силу решения суда для ведения мониторинга земельного кадастра и для внесения соответствующих изменений в регистрационные документы.</w:t>
      </w:r>
      <w:proofErr w:type="gramEnd"/>
    </w:p>
    <w:p w:rsidR="0062711B" w:rsidRPr="00435514" w:rsidRDefault="0062711B" w:rsidP="0043551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60"/>
      <w:bookmarkEnd w:id="3"/>
      <w:r w:rsidRPr="00435514">
        <w:rPr>
          <w:rFonts w:ascii="Times New Roman" w:hAnsi="Times New Roman" w:cs="Times New Roman"/>
          <w:b/>
          <w:sz w:val="28"/>
          <w:szCs w:val="28"/>
        </w:rPr>
        <w:t>4. ИЗМЕНЕНИЕ И РАСТОРЖЕНИЕ ДОГОВОРА АРЕНДЫ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4.1. Изменение и расторжение договора аренды земельного участка возможны по соглашению сторон.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Соглашение об изменении или расторжении договора аренды земельного участка совершается путем составления единого письменного документа, подписанного сторонами договора аренды.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4.2. По требованию одной из сторон договор аренды земельного участка может быть изменен или расторгнут по решению суда только: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при существенном нарушении условий договора другой стороной;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в иных случаях, предусмотренных законом либо договором.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Требование об изменении или о расторжении договора может быть заявлено в суд только после получения отказа другой стороны на предложение изменить или расторгнуть договор либо неполучения ответа в срок, указанный в предложении, а при его отсутствии - в 30-дневный срок.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4.3. При изменении договора обязательства сторон сохраняются в измененном виде.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При расторжении договора обязательства сторон прекращаются.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В случае изменения или расторжения договора обязательства считаются измененными или прекращенными с момента заключения соглашения об изменении или о расторжении договора, если иное не предусмотрено в самом соглашении, а при изменении или расторжении договора в судебном порядке - с момента вступления в законную силу решения суда об изменении или расторжении договора.</w:t>
      </w:r>
    </w:p>
    <w:p w:rsidR="0062711B" w:rsidRPr="00435514" w:rsidRDefault="0062711B" w:rsidP="003739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172"/>
      <w:bookmarkEnd w:id="4"/>
      <w:r w:rsidRPr="00435514">
        <w:rPr>
          <w:rFonts w:ascii="Times New Roman" w:hAnsi="Times New Roman" w:cs="Times New Roman"/>
          <w:b/>
          <w:sz w:val="28"/>
          <w:szCs w:val="28"/>
        </w:rPr>
        <w:t>5.</w:t>
      </w:r>
      <w:r w:rsidR="00542A29" w:rsidRPr="004355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514">
        <w:rPr>
          <w:rFonts w:ascii="Times New Roman" w:hAnsi="Times New Roman" w:cs="Times New Roman"/>
          <w:b/>
          <w:sz w:val="28"/>
          <w:szCs w:val="28"/>
        </w:rPr>
        <w:t>ПОРЯДОК ПЕРЕДАЧИ ЗЕМЕЛЬНОГО УЧАСТКА И ЕГО ВОЗВРАТА ПРИ РАСТОРЖЕНИИ ДОГОВОРА ИЛИ ПО ИСТЕЧЕНИИ СРОКА ДЕЙСТВИЯ ДОГОВОРА АРЕНДЫ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5.1. Фактическая передача земельного участка в аренду оформляется передаточным актом в пятидневный срок с момента заключения договора аренды.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Земельный участок считается переданным арендатору с момента подписания передаточного акта.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lastRenderedPageBreak/>
        <w:t>5.2. Фактическая передача арендованного земельного участка по истечении срока договора аренды осуществляется арендатором земельного участка в пятидневный срок с момента прекращения договора аренды.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Земельный участок считается возвращенным арендодателю с момента подписания передаточного акта.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5.3. Фактическая передача арендованного земельного участка при досрочном расторжении договора аренды осуществляется в пятидневный срок с момента заключения соглашения о расторжении договора либо вступления в законную силу решения суда о расторжении договора.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Земельный участок считается возвращенным арендодателю с момента подписания передаточного акта.</w:t>
      </w:r>
    </w:p>
    <w:p w:rsidR="0062711B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5.4. При невыполнении арендатором требований арендодателя по возврату земельного участка арендодатель оставляет за собой право осуществить изъятие земельного участка из пользования арендатора в порядке, установленном действующим законодательством, и потребовать внесения арендной платы за все время просрочки возврата.</w:t>
      </w:r>
    </w:p>
    <w:p w:rsidR="0062711B" w:rsidRPr="00435514" w:rsidRDefault="0062711B" w:rsidP="0043551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35514">
        <w:rPr>
          <w:rFonts w:ascii="Times New Roman" w:hAnsi="Times New Roman" w:cs="Times New Roman"/>
          <w:b/>
          <w:sz w:val="28"/>
          <w:szCs w:val="28"/>
        </w:rPr>
        <w:t>6. СРЕДСТВА И СРОКИ УПЛАТЫ АРЕНДНЫХ ПЛАТЕЖЕЙ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6.1. К средствам от сдачи в аренду земельных участков относятся: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арендная плата по заключенным договорам аренды земельных участков;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- пеня (неустойки), установленные договорами аренды земельных участков.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Размер неустоек устанавливается в соответствии с условиями заключенных договоров аренды либо в соответствии с действующим законодательством Российской Федерации.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6.2. Средства от сдачи в аренду земельных участков перечисляются арендаторами самостоятельно на основании договора аренды в соответствии с действующим законодательством на момент оплаты.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6.3. Расчет арендной платы и начисление пени за несвоевременную уплату арендных платежей производится в соответствии с условиями договора аренды.</w:t>
      </w:r>
    </w:p>
    <w:p w:rsidR="0062711B" w:rsidRPr="00373908" w:rsidRDefault="0062711B" w:rsidP="003739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>6.4. В исключительных случаях, когда арендатор фактически пользовался земельным участком до момента заключения договора либо после окончания срока действия договора, расчет арендной платы производится, начиная со дня фактического использования арендатором земельного участка и до момента фактического его освобождения.</w:t>
      </w:r>
    </w:p>
    <w:p w:rsidR="00262CF4" w:rsidRDefault="00262CF4" w:rsidP="00373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F4" w:rsidRDefault="00262CF4" w:rsidP="00373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514" w:rsidRPr="00373908" w:rsidRDefault="00435514" w:rsidP="00373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711B" w:rsidRPr="00373908" w:rsidRDefault="0062711B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Глава городского поселения </w:t>
      </w:r>
      <w:r w:rsidR="00443A6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7390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71E7A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373908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62711B" w:rsidRDefault="0062711B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2CF4" w:rsidRDefault="00262CF4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1" w:rsidRDefault="00443A61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373908" w:rsidRDefault="0062711B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90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B71E7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37390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43A6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73908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Pr="00373908" w:rsidRDefault="00F33215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5E0D3F"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1FF" w:rsidRDefault="007501FF" w:rsidP="007A07E8">
      <w:pPr>
        <w:spacing w:after="0" w:line="240" w:lineRule="auto"/>
      </w:pPr>
      <w:r>
        <w:separator/>
      </w:r>
    </w:p>
  </w:endnote>
  <w:endnote w:type="continuationSeparator" w:id="0">
    <w:p w:rsidR="007501FF" w:rsidRDefault="007501FF" w:rsidP="007A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1FF" w:rsidRDefault="007501FF" w:rsidP="007A07E8">
      <w:pPr>
        <w:spacing w:after="0" w:line="240" w:lineRule="auto"/>
      </w:pPr>
      <w:r>
        <w:separator/>
      </w:r>
    </w:p>
  </w:footnote>
  <w:footnote w:type="continuationSeparator" w:id="0">
    <w:p w:rsidR="007501FF" w:rsidRDefault="007501FF" w:rsidP="007A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83289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E0D3F" w:rsidRPr="005E0D3F" w:rsidRDefault="005E0D3F">
        <w:pPr>
          <w:pStyle w:val="a5"/>
          <w:jc w:val="center"/>
          <w:rPr>
            <w:sz w:val="24"/>
            <w:szCs w:val="24"/>
          </w:rPr>
        </w:pPr>
        <w:r w:rsidRPr="005E0D3F">
          <w:rPr>
            <w:sz w:val="24"/>
            <w:szCs w:val="24"/>
          </w:rPr>
          <w:fldChar w:fldCharType="begin"/>
        </w:r>
        <w:r w:rsidRPr="005E0D3F">
          <w:rPr>
            <w:sz w:val="24"/>
            <w:szCs w:val="24"/>
          </w:rPr>
          <w:instrText>PAGE   \* MERGEFORMAT</w:instrText>
        </w:r>
        <w:r w:rsidRPr="005E0D3F">
          <w:rPr>
            <w:sz w:val="24"/>
            <w:szCs w:val="24"/>
          </w:rPr>
          <w:fldChar w:fldCharType="separate"/>
        </w:r>
        <w:r w:rsidR="00CF4CB2">
          <w:rPr>
            <w:noProof/>
            <w:sz w:val="24"/>
            <w:szCs w:val="24"/>
          </w:rPr>
          <w:t>6</w:t>
        </w:r>
        <w:r w:rsidRPr="005E0D3F">
          <w:rPr>
            <w:sz w:val="24"/>
            <w:szCs w:val="24"/>
          </w:rPr>
          <w:fldChar w:fldCharType="end"/>
        </w:r>
      </w:p>
    </w:sdtContent>
  </w:sdt>
  <w:p w:rsidR="005E0D3F" w:rsidRDefault="005E0D3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53C65"/>
    <w:multiLevelType w:val="multilevel"/>
    <w:tmpl w:val="6C9C10DC"/>
    <w:lvl w:ilvl="0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4110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10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11B"/>
    <w:rsid w:val="000163A6"/>
    <w:rsid w:val="00021746"/>
    <w:rsid w:val="000742C8"/>
    <w:rsid w:val="000B1BAA"/>
    <w:rsid w:val="000C67B7"/>
    <w:rsid w:val="0010112F"/>
    <w:rsid w:val="00110531"/>
    <w:rsid w:val="00122F5B"/>
    <w:rsid w:val="0019489F"/>
    <w:rsid w:val="001A58C6"/>
    <w:rsid w:val="0020188D"/>
    <w:rsid w:val="002062C6"/>
    <w:rsid w:val="00262CF4"/>
    <w:rsid w:val="0026573F"/>
    <w:rsid w:val="002C7066"/>
    <w:rsid w:val="0034296E"/>
    <w:rsid w:val="00373908"/>
    <w:rsid w:val="00377189"/>
    <w:rsid w:val="003833D6"/>
    <w:rsid w:val="003928E2"/>
    <w:rsid w:val="003A0236"/>
    <w:rsid w:val="003A4986"/>
    <w:rsid w:val="004305D5"/>
    <w:rsid w:val="00435514"/>
    <w:rsid w:val="00443A61"/>
    <w:rsid w:val="00461E35"/>
    <w:rsid w:val="004803B5"/>
    <w:rsid w:val="004E5956"/>
    <w:rsid w:val="0050219C"/>
    <w:rsid w:val="00517409"/>
    <w:rsid w:val="00542A29"/>
    <w:rsid w:val="00547887"/>
    <w:rsid w:val="00555DE5"/>
    <w:rsid w:val="00586F70"/>
    <w:rsid w:val="005E0D3F"/>
    <w:rsid w:val="0062711B"/>
    <w:rsid w:val="006524C5"/>
    <w:rsid w:val="006A0DA2"/>
    <w:rsid w:val="006C1C4F"/>
    <w:rsid w:val="006E295C"/>
    <w:rsid w:val="00733B9F"/>
    <w:rsid w:val="007501FF"/>
    <w:rsid w:val="00753529"/>
    <w:rsid w:val="007A07E8"/>
    <w:rsid w:val="007F7794"/>
    <w:rsid w:val="00855A11"/>
    <w:rsid w:val="00857039"/>
    <w:rsid w:val="00860CC1"/>
    <w:rsid w:val="0086171F"/>
    <w:rsid w:val="008C35A8"/>
    <w:rsid w:val="008D6686"/>
    <w:rsid w:val="00926C5A"/>
    <w:rsid w:val="009D0A10"/>
    <w:rsid w:val="009F3A6D"/>
    <w:rsid w:val="00A30513"/>
    <w:rsid w:val="00A57CC0"/>
    <w:rsid w:val="00AC4494"/>
    <w:rsid w:val="00AC6991"/>
    <w:rsid w:val="00AC7145"/>
    <w:rsid w:val="00B71E7A"/>
    <w:rsid w:val="00B9025B"/>
    <w:rsid w:val="00BA2D0B"/>
    <w:rsid w:val="00BB6883"/>
    <w:rsid w:val="00BE1550"/>
    <w:rsid w:val="00BF7825"/>
    <w:rsid w:val="00C13AD6"/>
    <w:rsid w:val="00C840E6"/>
    <w:rsid w:val="00CE3333"/>
    <w:rsid w:val="00CF4CB2"/>
    <w:rsid w:val="00CF7D5C"/>
    <w:rsid w:val="00D133FC"/>
    <w:rsid w:val="00DA4C5B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D5E8A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271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6271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2711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A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07E8"/>
  </w:style>
  <w:style w:type="paragraph" w:styleId="a9">
    <w:name w:val="List Paragraph"/>
    <w:basedOn w:val="a"/>
    <w:uiPriority w:val="34"/>
    <w:qFormat/>
    <w:rsid w:val="00262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271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6271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2711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A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07E8"/>
  </w:style>
  <w:style w:type="paragraph" w:styleId="a9">
    <w:name w:val="List Paragraph"/>
    <w:basedOn w:val="a"/>
    <w:uiPriority w:val="34"/>
    <w:qFormat/>
    <w:rsid w:val="00262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CFD6E68E2602C179385319ADEBDCF64D4E241A4E0E53F546887EF2BF6hBzEG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E3186-113B-4F3C-B36C-C51C2087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205</TotalTime>
  <Pages>6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5</cp:revision>
  <cp:lastPrinted>2015-02-24T01:48:00Z</cp:lastPrinted>
  <dcterms:created xsi:type="dcterms:W3CDTF">2015-02-23T23:03:00Z</dcterms:created>
  <dcterms:modified xsi:type="dcterms:W3CDTF">2015-02-25T04:41:00Z</dcterms:modified>
</cp:coreProperties>
</file>